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04" w:rsidRDefault="00EA5904" w:rsidP="00EA5904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132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EA5904" w:rsidRDefault="00EA5904" w:rsidP="00EA5904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10 апреля 2023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 внесении изменений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№ 445-П от 23.11.2022г.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 В соответствии с Федеральным законом Российской Федерации от 27.07.2010 «210-ФЗ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443-ФЗ), Правилам присвоения, изменения и аннулирования адресов, утвержденных постановлением Правительства Российской Федерации от 19 ноября 2014 г. № 1221,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ПОСТАНОВЛЯЕТ: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Внести изменения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№ 445-П от 23.11.2022г.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 Пункт 2.2. административного регламента читать в следующей редакции: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«2.2. Муниципальную услугу предоставляет: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Ленинградской области (далее – Администрация).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Структурным подразделением, ответственным за предоставление муниципальной услуги, является отдел по экономике, инвестициям, муниципальному имуществу и архитектуре.                                                                      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предоставлении Услуги участвуют действующие филиалы, отделы и удаленные рабочие места ГБУ ЛО «МФЦ», расположенные на территории Ленинградской области.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 предоставлении Услуги Администрация взаимодействует с: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оператором федеральной информационной адресной системы – Федеральной налоговой службой (далее - Оператор ФИАС);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-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"О публично-правовой компании "</w:t>
      </w:r>
      <w:proofErr w:type="spellStart"/>
      <w:r>
        <w:rPr>
          <w:rFonts w:ascii="Arial" w:hAnsi="Arial" w:cs="Arial"/>
          <w:color w:val="424242"/>
        </w:rPr>
        <w:t>Роскадастр</w:t>
      </w:r>
      <w:proofErr w:type="spellEnd"/>
      <w:r>
        <w:rPr>
          <w:rFonts w:ascii="Arial" w:hAnsi="Arial" w:cs="Arial"/>
          <w:color w:val="424242"/>
        </w:rPr>
        <w:t>", в порядке межведомственного информационного взаимодействия по запросу уполномоченного органа;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Заявление на получение Услуги с комплектом документов принимается: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 при личной явке: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Администрацию/Организацию;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филиалах, отделах, удаленных рабочих местах ГБУ ЛО "МФЦ";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 без личной явки: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почтовым отправлением в Администрацию/Организацию;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электронной форме через личный кабинет заявителя на ПГУ ЛО/ЕПГУ.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 посредством ПГУ ЛО/ЕПГУ - в Администрацию/Организацию, в МФЦ (при технической реализации);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 по телефону - в Администрацию/Организацию, в МФЦ;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3) посредством сайта Администрации/Организации – в Администрацию/Организацию.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Для записи заявитель выбирает любые свободные для приема дату и время в пределах установленного в Администрации/Организации или МФЦ графика приема заявителей.»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 Пункт 2.5. административного регламента читать в следующей редакции: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«2.5. Правовые основания для предоставления Услуги.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Перечень нормативных правовых актов, регулирующих предоставление Услуги: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Градостроительный кодекс Российской Федерации;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Федеральный закон «О кадастровой деятельности»;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Федеральный закон «О государственной регистрации недвижимости»;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Правила присвоения, изменения и аннулирования адресов, утвержденные постановлением Правительства Российской Федерации от 19 ноября 2014 г. № 1221 (далее – Правила);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Приказ Министерства финансов Российской Федерации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 юридическим лицам, в том числе посредством обеспечения доступа к федеральной информационной адресной системе»;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Приказ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адреса»;»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1.3. Пункт 2.7.1. административного регламента читать в следующей редакции: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«2.7.1. Заявитель вправе представить документы (сведения), указанные в пункте 2.7 настоящего регламента, по собственной инициативе.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данном случае документы, указанные в подпунктах "а", "в", "г", "е" и "ж" пункта 2.7 настоящего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Если заявление и документы, указанные в пункте 2.7 настоящего Регламента,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в порядке, предусмотренном пунктом 36 Правил.»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2. 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3.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направить в установленный законом срок в контрольно-правовое управление для включения в регистр муниципальных правовых актов Ленинградской области, внести в реестр муниципальных услуг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  4. Контроль исполнения постановления возложить на первого заместителя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А.Л. </w:t>
      </w:r>
      <w:proofErr w:type="spellStart"/>
      <w:r>
        <w:rPr>
          <w:rFonts w:ascii="Arial" w:hAnsi="Arial" w:cs="Arial"/>
          <w:color w:val="424242"/>
        </w:rPr>
        <w:t>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EA5904" w:rsidRDefault="00EA5904" w:rsidP="00EA590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                                                       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DA15B5" w:rsidRPr="00EA5904" w:rsidRDefault="00DA15B5" w:rsidP="00EA5904"/>
    <w:sectPr w:rsidR="00DA15B5" w:rsidRPr="00EA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4F7A08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242A"/>
    <w:rsid w:val="00803AE9"/>
    <w:rsid w:val="00804167"/>
    <w:rsid w:val="008049DA"/>
    <w:rsid w:val="00814FF6"/>
    <w:rsid w:val="0082734D"/>
    <w:rsid w:val="00846BA3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5C6C"/>
    <w:rsid w:val="00D156B6"/>
    <w:rsid w:val="00D43917"/>
    <w:rsid w:val="00D4582C"/>
    <w:rsid w:val="00D46E72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5904"/>
    <w:rsid w:val="00EA6D11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2025-07-02T07:24:00Z</dcterms:created>
  <dcterms:modified xsi:type="dcterms:W3CDTF">2025-07-02T07:24:00Z</dcterms:modified>
</cp:coreProperties>
</file>